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A5036" w14:textId="300B2BB2" w:rsidR="00864DAF" w:rsidRDefault="00864DAF" w:rsidP="00864DAF">
      <w:pPr>
        <w:pStyle w:val="Naslov2"/>
        <w:spacing w:before="40" w:after="0" w:line="256" w:lineRule="auto"/>
        <w:ind w:left="708"/>
        <w:rPr>
          <w:rStyle w:val="Naslov2Char"/>
          <w:b/>
        </w:rPr>
      </w:pPr>
      <w:bookmarkStart w:id="0" w:name="_Toc218304480"/>
      <w:r>
        <w:rPr>
          <w:rStyle w:val="Naslov2Char"/>
        </w:rPr>
        <w:t>5.2.Opis općih i specifičnih ciljeva LRS</w:t>
      </w:r>
      <w:bookmarkEnd w:id="0"/>
    </w:p>
    <w:p w14:paraId="5D940DF8" w14:textId="77777777" w:rsidR="00864DAF" w:rsidRDefault="00864DAF" w:rsidP="00864DAF">
      <w:pPr>
        <w:rPr>
          <w:iCs/>
        </w:rPr>
      </w:pPr>
      <w:r>
        <w:rPr>
          <w:b/>
          <w:bCs/>
        </w:rPr>
        <w:t xml:space="preserve">            </w:t>
      </w:r>
      <w:r>
        <w:rPr>
          <w:i/>
          <w:iCs/>
        </w:rPr>
        <w:t xml:space="preserve"> </w:t>
      </w:r>
    </w:p>
    <w:p w14:paraId="13E8C195" w14:textId="77777777" w:rsidR="00864DAF" w:rsidRDefault="00864DAF" w:rsidP="00864DAF">
      <w:pPr>
        <w:pStyle w:val="Naslov3"/>
      </w:pPr>
      <w:bookmarkStart w:id="1" w:name="_Toc218304481"/>
      <w:r>
        <w:t>Tablica 26: Opći i specifični ciljevi LRS</w:t>
      </w:r>
      <w:bookmarkEnd w:id="1"/>
    </w:p>
    <w:tbl>
      <w:tblPr>
        <w:tblStyle w:val="Reetkatablice"/>
        <w:tblW w:w="5015" w:type="pct"/>
        <w:tblInd w:w="0" w:type="dxa"/>
        <w:tblLook w:val="04A0" w:firstRow="1" w:lastRow="0" w:firstColumn="1" w:lastColumn="0" w:noHBand="0" w:noVBand="1"/>
      </w:tblPr>
      <w:tblGrid>
        <w:gridCol w:w="1845"/>
        <w:gridCol w:w="2107"/>
        <w:gridCol w:w="2503"/>
        <w:gridCol w:w="2634"/>
      </w:tblGrid>
      <w:tr w:rsidR="00864DAF" w14:paraId="58C89677" w14:textId="77777777">
        <w:trPr>
          <w:trHeight w:val="298"/>
        </w:trPr>
        <w:tc>
          <w:tcPr>
            <w:tcW w:w="1015"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6357267A" w14:textId="77777777" w:rsidR="00864DAF" w:rsidRDefault="00864DAF">
            <w:pPr>
              <w:pStyle w:val="Odlomakpopisa"/>
              <w:ind w:left="0"/>
              <w:rPr>
                <w:iCs/>
              </w:rPr>
            </w:pPr>
            <w:bookmarkStart w:id="2" w:name="_Hlk46401780"/>
            <w:r>
              <w:rPr>
                <w:iCs/>
              </w:rPr>
              <w:t>Naziv općeg cilja</w:t>
            </w:r>
          </w:p>
        </w:tc>
        <w:tc>
          <w:tcPr>
            <w:tcW w:w="1159"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216BFCC0" w14:textId="77777777" w:rsidR="00864DAF" w:rsidRDefault="00864DAF">
            <w:pPr>
              <w:pStyle w:val="Odlomakpopisa"/>
              <w:ind w:left="0"/>
              <w:jc w:val="center"/>
              <w:rPr>
                <w:iCs/>
              </w:rPr>
            </w:pPr>
            <w:r>
              <w:rPr>
                <w:iCs/>
              </w:rPr>
              <w:t>Kratki opis općeg cilja</w:t>
            </w:r>
          </w:p>
        </w:tc>
        <w:tc>
          <w:tcPr>
            <w:tcW w:w="1377"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46CC10D7" w14:textId="77777777" w:rsidR="00864DAF" w:rsidRDefault="00864DAF">
            <w:pPr>
              <w:pStyle w:val="Odlomakpopisa"/>
              <w:ind w:left="0"/>
              <w:jc w:val="center"/>
              <w:rPr>
                <w:iCs/>
              </w:rPr>
            </w:pPr>
            <w:r>
              <w:rPr>
                <w:iCs/>
              </w:rPr>
              <w:t>Naziv specifičnog cilja</w:t>
            </w:r>
          </w:p>
        </w:tc>
        <w:tc>
          <w:tcPr>
            <w:tcW w:w="1449"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1DAEDFB3" w14:textId="77777777" w:rsidR="00864DAF" w:rsidRDefault="00864DAF">
            <w:pPr>
              <w:pStyle w:val="Odlomakpopisa"/>
              <w:ind w:left="0"/>
              <w:jc w:val="center"/>
              <w:rPr>
                <w:iCs/>
              </w:rPr>
            </w:pPr>
            <w:r>
              <w:rPr>
                <w:iCs/>
              </w:rPr>
              <w:t>Kratki opis specifičnog cilja</w:t>
            </w:r>
          </w:p>
        </w:tc>
      </w:tr>
      <w:tr w:rsidR="00864DAF" w14:paraId="014CEA38" w14:textId="77777777">
        <w:trPr>
          <w:trHeight w:val="2554"/>
        </w:trPr>
        <w:tc>
          <w:tcPr>
            <w:tcW w:w="1015" w:type="pct"/>
            <w:tcBorders>
              <w:top w:val="single" w:sz="4" w:space="0" w:color="auto"/>
              <w:left w:val="single" w:sz="4" w:space="0" w:color="auto"/>
              <w:bottom w:val="nil"/>
              <w:right w:val="single" w:sz="4" w:space="0" w:color="auto"/>
            </w:tcBorders>
          </w:tcPr>
          <w:p w14:paraId="2241352A" w14:textId="77777777" w:rsidR="00864DAF" w:rsidRDefault="00864DAF">
            <w:pPr>
              <w:rPr>
                <w:lang w:eastAsia="en-US"/>
              </w:rPr>
            </w:pPr>
            <w:r>
              <w:rPr>
                <w:lang w:eastAsia="en-US"/>
              </w:rPr>
              <w:t xml:space="preserve">OC: </w:t>
            </w:r>
            <w:bookmarkStart w:id="3" w:name="_Hlk145936821"/>
            <w:r>
              <w:rPr>
                <w:iCs/>
                <w:lang w:eastAsia="en-US"/>
              </w:rPr>
              <w:t xml:space="preserve"> </w:t>
            </w:r>
            <w:r>
              <w:rPr>
                <w:lang w:eastAsia="en-US"/>
              </w:rPr>
              <w:t>Razvoj integracije i identiteta lokalne zajednice</w:t>
            </w:r>
            <w:bookmarkEnd w:id="3"/>
          </w:p>
          <w:p w14:paraId="3AA14F3F" w14:textId="77777777" w:rsidR="00864DAF" w:rsidRDefault="00864DAF">
            <w:pPr>
              <w:widowControl w:val="0"/>
              <w:autoSpaceDE w:val="0"/>
              <w:autoSpaceDN w:val="0"/>
              <w:rPr>
                <w:lang w:eastAsia="en-US"/>
              </w:rPr>
            </w:pPr>
          </w:p>
          <w:p w14:paraId="5969E632" w14:textId="77777777" w:rsidR="00864DAF" w:rsidRDefault="00864DAF">
            <w:pPr>
              <w:pStyle w:val="Odlomakpopisa"/>
              <w:ind w:left="0"/>
              <w:rPr>
                <w:iCs/>
                <w:lang w:eastAsia="en-US"/>
              </w:rPr>
            </w:pPr>
          </w:p>
        </w:tc>
        <w:tc>
          <w:tcPr>
            <w:tcW w:w="1159" w:type="pct"/>
            <w:tcBorders>
              <w:top w:val="single" w:sz="4" w:space="0" w:color="auto"/>
              <w:left w:val="single" w:sz="4" w:space="0" w:color="auto"/>
              <w:bottom w:val="nil"/>
              <w:right w:val="single" w:sz="4" w:space="0" w:color="auto"/>
            </w:tcBorders>
          </w:tcPr>
          <w:p w14:paraId="4EB102DA" w14:textId="77777777" w:rsidR="00864DAF" w:rsidRDefault="00864DAF">
            <w:pPr>
              <w:widowControl w:val="0"/>
              <w:autoSpaceDE w:val="0"/>
              <w:autoSpaceDN w:val="0"/>
              <w:rPr>
                <w:rFonts w:eastAsiaTheme="majorEastAsia"/>
                <w:lang w:eastAsia="en-US"/>
              </w:rPr>
            </w:pPr>
            <w:r>
              <w:rPr>
                <w:rFonts w:eastAsiaTheme="majorEastAsia"/>
                <w:lang w:eastAsia="en-US"/>
              </w:rPr>
              <w:t xml:space="preserve">Ovim ciljem LAG doprinosi općem socioekonomskom razvoju te jačanju društvene inkluzije, održivosti, otpornosti i prepoznatljivosti lokalne zajednice. </w:t>
            </w:r>
          </w:p>
          <w:p w14:paraId="77C7343E" w14:textId="77777777" w:rsidR="00864DAF" w:rsidRDefault="00864DAF">
            <w:pPr>
              <w:widowControl w:val="0"/>
              <w:autoSpaceDE w:val="0"/>
              <w:autoSpaceDN w:val="0"/>
              <w:rPr>
                <w:rFonts w:eastAsiaTheme="majorEastAsia"/>
                <w:lang w:eastAsia="en-US"/>
              </w:rPr>
            </w:pPr>
          </w:p>
          <w:p w14:paraId="302C2091" w14:textId="77777777" w:rsidR="00864DAF" w:rsidRDefault="00864DAF">
            <w:pPr>
              <w:pStyle w:val="Odlomakpopisa"/>
              <w:ind w:left="0"/>
              <w:rPr>
                <w:rFonts w:eastAsiaTheme="minorHAnsi"/>
                <w:iCs/>
                <w:lang w:eastAsia="en-US"/>
              </w:rPr>
            </w:pPr>
          </w:p>
        </w:tc>
        <w:tc>
          <w:tcPr>
            <w:tcW w:w="1377" w:type="pct"/>
            <w:tcBorders>
              <w:top w:val="single" w:sz="4" w:space="0" w:color="auto"/>
              <w:left w:val="single" w:sz="4" w:space="0" w:color="auto"/>
              <w:bottom w:val="single" w:sz="4" w:space="0" w:color="auto"/>
              <w:right w:val="single" w:sz="4" w:space="0" w:color="auto"/>
            </w:tcBorders>
          </w:tcPr>
          <w:p w14:paraId="27EA1FD6" w14:textId="77777777" w:rsidR="00864DAF" w:rsidRDefault="00864DAF">
            <w:pPr>
              <w:widowControl w:val="0"/>
              <w:autoSpaceDE w:val="0"/>
              <w:autoSpaceDN w:val="0"/>
              <w:rPr>
                <w:lang w:eastAsia="en-US"/>
              </w:rPr>
            </w:pPr>
          </w:p>
          <w:p w14:paraId="5BD42151" w14:textId="77777777" w:rsidR="00864DAF" w:rsidRDefault="00864DAF">
            <w:pPr>
              <w:pStyle w:val="Odlomakpopisa"/>
              <w:ind w:left="0"/>
              <w:rPr>
                <w:iCs/>
                <w:lang w:eastAsia="en-US"/>
              </w:rPr>
            </w:pPr>
            <w:r>
              <w:t>SC1: Razvoj konkurente i otporne poljoprivrede i prepoznatljivih lokalnih proizvoda i usluga</w:t>
            </w:r>
          </w:p>
        </w:tc>
        <w:tc>
          <w:tcPr>
            <w:tcW w:w="1449" w:type="pct"/>
            <w:tcBorders>
              <w:top w:val="single" w:sz="4" w:space="0" w:color="auto"/>
              <w:left w:val="single" w:sz="4" w:space="0" w:color="auto"/>
              <w:bottom w:val="single" w:sz="4" w:space="0" w:color="auto"/>
              <w:right w:val="single" w:sz="4" w:space="0" w:color="auto"/>
            </w:tcBorders>
            <w:hideMark/>
          </w:tcPr>
          <w:p w14:paraId="740F12B0" w14:textId="77777777" w:rsidR="00864DAF" w:rsidRDefault="00864DAF">
            <w:pPr>
              <w:widowControl w:val="0"/>
              <w:autoSpaceDE w:val="0"/>
              <w:autoSpaceDN w:val="0"/>
              <w:rPr>
                <w:iCs/>
                <w:lang w:eastAsia="en-US"/>
              </w:rPr>
            </w:pPr>
            <w:r>
              <w:rPr>
                <w:rFonts w:eastAsiaTheme="majorEastAsia"/>
                <w:lang w:eastAsia="en-US"/>
              </w:rPr>
              <w:t>Ovim ciljem postiže se jačanje lokalnog poduzetništva zasnovanog na lokalnim resursima i tradiciji te povećanje konkurentnosti i prepoznatljivosti područja.</w:t>
            </w:r>
          </w:p>
        </w:tc>
      </w:tr>
      <w:tr w:rsidR="00864DAF" w14:paraId="446C8B1D" w14:textId="77777777">
        <w:trPr>
          <w:trHeight w:val="2624"/>
        </w:trPr>
        <w:tc>
          <w:tcPr>
            <w:tcW w:w="1015" w:type="pct"/>
            <w:tcBorders>
              <w:top w:val="nil"/>
              <w:left w:val="single" w:sz="4" w:space="0" w:color="auto"/>
              <w:bottom w:val="single" w:sz="4" w:space="0" w:color="auto"/>
              <w:right w:val="single" w:sz="4" w:space="0" w:color="auto"/>
            </w:tcBorders>
          </w:tcPr>
          <w:p w14:paraId="7EC2189E" w14:textId="77777777" w:rsidR="00864DAF" w:rsidRDefault="00864DAF">
            <w:pPr>
              <w:widowControl w:val="0"/>
              <w:autoSpaceDE w:val="0"/>
              <w:autoSpaceDN w:val="0"/>
              <w:rPr>
                <w:iCs/>
                <w:lang w:eastAsia="en-US"/>
              </w:rPr>
            </w:pPr>
          </w:p>
        </w:tc>
        <w:tc>
          <w:tcPr>
            <w:tcW w:w="1159" w:type="pct"/>
            <w:tcBorders>
              <w:top w:val="nil"/>
              <w:left w:val="single" w:sz="4" w:space="0" w:color="auto"/>
              <w:bottom w:val="single" w:sz="4" w:space="0" w:color="auto"/>
              <w:right w:val="single" w:sz="4" w:space="0" w:color="auto"/>
            </w:tcBorders>
          </w:tcPr>
          <w:p w14:paraId="77376107" w14:textId="77777777" w:rsidR="00864DAF" w:rsidRDefault="00864DAF">
            <w:pPr>
              <w:widowControl w:val="0"/>
              <w:autoSpaceDE w:val="0"/>
              <w:autoSpaceDN w:val="0"/>
              <w:rPr>
                <w:iCs/>
                <w:lang w:eastAsia="en-US"/>
              </w:rPr>
            </w:pPr>
            <w:r>
              <w:rPr>
                <w:iCs/>
                <w:lang w:eastAsia="en-US"/>
              </w:rPr>
              <w:t xml:space="preserve">  </w:t>
            </w:r>
          </w:p>
          <w:p w14:paraId="22924A0C" w14:textId="77777777" w:rsidR="00864DAF" w:rsidRDefault="00864DAF">
            <w:pPr>
              <w:pStyle w:val="Odlomakpopisa"/>
              <w:ind w:left="0"/>
              <w:rPr>
                <w:iCs/>
                <w:lang w:eastAsia="en-US"/>
              </w:rPr>
            </w:pPr>
          </w:p>
        </w:tc>
        <w:tc>
          <w:tcPr>
            <w:tcW w:w="1377" w:type="pct"/>
            <w:tcBorders>
              <w:top w:val="single" w:sz="4" w:space="0" w:color="auto"/>
              <w:left w:val="single" w:sz="4" w:space="0" w:color="auto"/>
              <w:bottom w:val="single" w:sz="4" w:space="0" w:color="auto"/>
              <w:right w:val="single" w:sz="4" w:space="0" w:color="auto"/>
            </w:tcBorders>
          </w:tcPr>
          <w:p w14:paraId="612F759D" w14:textId="77777777" w:rsidR="00864DAF" w:rsidRDefault="00864DAF">
            <w:pPr>
              <w:pStyle w:val="Odlomakpopisa"/>
              <w:ind w:left="0"/>
              <w:rPr>
                <w:iCs/>
              </w:rPr>
            </w:pPr>
            <w:r>
              <w:t>SC2: Povećanje kvalitete života lokalnog stanovništva i doživljaja posjetitelja</w:t>
            </w:r>
          </w:p>
          <w:p w14:paraId="74BFFE45" w14:textId="77777777" w:rsidR="00864DAF" w:rsidRDefault="00864DAF">
            <w:pPr>
              <w:pStyle w:val="Odlomakpopisa"/>
              <w:ind w:left="0"/>
              <w:rPr>
                <w:rFonts w:asciiTheme="minorHAnsi" w:hAnsiTheme="minorHAnsi" w:cstheme="minorBidi"/>
                <w:iCs/>
                <w:sz w:val="22"/>
                <w:szCs w:val="22"/>
              </w:rPr>
            </w:pPr>
          </w:p>
          <w:p w14:paraId="048A8F09" w14:textId="77777777" w:rsidR="00864DAF" w:rsidRDefault="00864DAF">
            <w:pPr>
              <w:pStyle w:val="Odlomakpopisa"/>
              <w:ind w:left="0"/>
              <w:rPr>
                <w:iCs/>
              </w:rPr>
            </w:pPr>
          </w:p>
          <w:p w14:paraId="529E0A62" w14:textId="77777777" w:rsidR="00864DAF" w:rsidRDefault="00864DAF">
            <w:pPr>
              <w:pStyle w:val="Odlomakpopisa"/>
              <w:ind w:left="0"/>
              <w:rPr>
                <w:iCs/>
              </w:rPr>
            </w:pPr>
          </w:p>
          <w:p w14:paraId="140141B3" w14:textId="77777777" w:rsidR="00864DAF" w:rsidRDefault="00864DAF">
            <w:pPr>
              <w:pStyle w:val="Odlomakpopisa"/>
              <w:ind w:left="0"/>
              <w:rPr>
                <w:iCs/>
              </w:rPr>
            </w:pPr>
          </w:p>
          <w:p w14:paraId="0F421951" w14:textId="77777777" w:rsidR="00864DAF" w:rsidRDefault="00864DAF">
            <w:pPr>
              <w:pStyle w:val="Odlomakpopisa"/>
              <w:ind w:left="0"/>
              <w:rPr>
                <w:iCs/>
              </w:rPr>
            </w:pPr>
          </w:p>
          <w:p w14:paraId="75D1EF1F" w14:textId="77777777" w:rsidR="00864DAF" w:rsidRDefault="00864DAF">
            <w:pPr>
              <w:pStyle w:val="Odlomakpopisa"/>
              <w:ind w:left="0"/>
              <w:rPr>
                <w:iCs/>
              </w:rPr>
            </w:pPr>
          </w:p>
          <w:p w14:paraId="11CF6908" w14:textId="77777777" w:rsidR="00864DAF" w:rsidRDefault="00864DAF">
            <w:pPr>
              <w:pStyle w:val="Odlomakpopisa"/>
              <w:ind w:left="0"/>
              <w:rPr>
                <w:iCs/>
              </w:rPr>
            </w:pPr>
          </w:p>
          <w:p w14:paraId="5CFD199E" w14:textId="77777777" w:rsidR="00864DAF" w:rsidRDefault="00864DAF">
            <w:pPr>
              <w:pStyle w:val="Odlomakpopisa"/>
              <w:ind w:left="0"/>
              <w:rPr>
                <w:iCs/>
              </w:rPr>
            </w:pPr>
          </w:p>
          <w:p w14:paraId="74CCA7B3" w14:textId="77777777" w:rsidR="00864DAF" w:rsidRDefault="00864DAF">
            <w:pPr>
              <w:pStyle w:val="Odlomakpopisa"/>
              <w:ind w:left="0"/>
              <w:rPr>
                <w:iCs/>
              </w:rPr>
            </w:pPr>
          </w:p>
        </w:tc>
        <w:tc>
          <w:tcPr>
            <w:tcW w:w="1449" w:type="pct"/>
            <w:tcBorders>
              <w:top w:val="single" w:sz="4" w:space="0" w:color="auto"/>
              <w:left w:val="single" w:sz="4" w:space="0" w:color="auto"/>
              <w:bottom w:val="single" w:sz="4" w:space="0" w:color="auto"/>
              <w:right w:val="single" w:sz="4" w:space="0" w:color="auto"/>
            </w:tcBorders>
            <w:hideMark/>
          </w:tcPr>
          <w:p w14:paraId="6A4A6E0B" w14:textId="77777777" w:rsidR="00864DAF" w:rsidRDefault="00864DAF">
            <w:pPr>
              <w:rPr>
                <w:iCs/>
                <w:lang w:eastAsia="en-US"/>
              </w:rPr>
            </w:pPr>
            <w:r>
              <w:rPr>
                <w:iCs/>
                <w:lang w:eastAsia="en-US"/>
              </w:rPr>
              <w:t>Ovim ciljem postiže se jačanje kapaciteta i integracije svih razvojnih dionika područja, poboljšanje infrastrukture i usluga te razvoj društvenih inovacija usmjerenih jačanju lokalnog identiteta i poboljšanja života na području LAG-a.</w:t>
            </w:r>
          </w:p>
        </w:tc>
      </w:tr>
      <w:bookmarkEnd w:id="2"/>
    </w:tbl>
    <w:p w14:paraId="1321BFB0" w14:textId="77777777" w:rsidR="00864DAF" w:rsidRDefault="00864DAF" w:rsidP="00864DAF"/>
    <w:p w14:paraId="10C388D9" w14:textId="77777777" w:rsidR="00864DAF" w:rsidRDefault="00864DAF" w:rsidP="00864DAF">
      <w:pPr>
        <w:rPr>
          <w:b/>
          <w:bCs/>
        </w:rPr>
      </w:pPr>
      <w:r>
        <w:rPr>
          <w:b/>
          <w:bCs/>
          <w:iCs/>
        </w:rPr>
        <w:t xml:space="preserve">OC: </w:t>
      </w:r>
      <w:r>
        <w:rPr>
          <w:b/>
          <w:bCs/>
        </w:rPr>
        <w:t>Razvoj integracije i identiteta lokalne zajednice</w:t>
      </w:r>
    </w:p>
    <w:p w14:paraId="3865B25E" w14:textId="77777777" w:rsidR="00864DAF" w:rsidRDefault="00864DAF" w:rsidP="00864DAF">
      <w:pPr>
        <w:jc w:val="both"/>
        <w:rPr>
          <w:iCs/>
          <w:color w:val="000000"/>
          <w:shd w:val="clear" w:color="auto" w:fill="FFFFFF"/>
        </w:rPr>
      </w:pPr>
      <w:r>
        <w:t xml:space="preserve">Općim ciljem LRS LAG „Prigorje“ doprinosi ključnoj horizontalnoj razvojnoj politici za ruralna područja Europske unije: Dugoročnoj viziji za ruralna područja. </w:t>
      </w:r>
      <w:r>
        <w:rPr>
          <w:iCs/>
        </w:rPr>
        <w:t xml:space="preserve">Općim ciljem LAG doprinosi postizanju </w:t>
      </w:r>
      <w:r>
        <w:rPr>
          <w:i/>
        </w:rPr>
        <w:t xml:space="preserve">Specifičnog cilja 8 SP ZPP-a: „Promicanje zapošljavanja, rasta, rodne ravnopravnosti, uključujući sudjelovanje žena u poljoprivredi, socijalne uključenosti i lokalnog razvoja u ruralnim područjima, uključujući kružno </w:t>
      </w:r>
      <w:proofErr w:type="spellStart"/>
      <w:r>
        <w:rPr>
          <w:i/>
        </w:rPr>
        <w:t>biogospodarstvo</w:t>
      </w:r>
      <w:proofErr w:type="spellEnd"/>
      <w:r>
        <w:rPr>
          <w:i/>
        </w:rPr>
        <w:t xml:space="preserve"> i održivo šumarstvo“</w:t>
      </w:r>
      <w:r>
        <w:rPr>
          <w:iCs/>
        </w:rPr>
        <w:t xml:space="preserve"> te doprinosi postizanju </w:t>
      </w:r>
      <w:r>
        <w:rPr>
          <w:i/>
        </w:rPr>
        <w:t>Općeg cilja 3 ZPP-a: „Jačanje socioekonomske strukture ruralnih područja“</w:t>
      </w:r>
      <w:r>
        <w:rPr>
          <w:iCs/>
        </w:rPr>
        <w:t xml:space="preserve">  kao i postizanja </w:t>
      </w:r>
      <w:r>
        <w:rPr>
          <w:i/>
        </w:rPr>
        <w:t>cilja 5. Kohezijske politike EU: „</w:t>
      </w:r>
      <w:r>
        <w:rPr>
          <w:i/>
          <w:color w:val="000000"/>
          <w:shd w:val="clear" w:color="auto" w:fill="FFFFFF"/>
        </w:rPr>
        <w:t xml:space="preserve">Europa bliža građanima poticanjem održivog i integriranog razvoja svih vrsta područja i lokalnih inicijativa“. </w:t>
      </w:r>
      <w:r>
        <w:rPr>
          <w:iCs/>
          <w:color w:val="000000"/>
          <w:shd w:val="clear" w:color="auto" w:fill="FFFFFF"/>
        </w:rPr>
        <w:t xml:space="preserve">Opći cilj integrativno povezuje rješavanje svih istaknutih razvojnih potreba i ima sinergijski učinak na razvoj zajedništva, održivosti otpornosti i prepoznatljivosti lokalne zajednice. </w:t>
      </w:r>
    </w:p>
    <w:p w14:paraId="30788934" w14:textId="77777777" w:rsidR="00864DAF" w:rsidRDefault="00864DAF" w:rsidP="00864DAF">
      <w:pPr>
        <w:rPr>
          <w:iCs/>
        </w:rPr>
      </w:pPr>
    </w:p>
    <w:p w14:paraId="1B346D8E" w14:textId="77777777" w:rsidR="00864DAF" w:rsidRDefault="00864DAF" w:rsidP="00864DAF">
      <w:pPr>
        <w:rPr>
          <w:iCs/>
        </w:rPr>
      </w:pPr>
    </w:p>
    <w:p w14:paraId="455B9603" w14:textId="77777777" w:rsidR="00864DAF" w:rsidRDefault="00864DAF" w:rsidP="00864DAF">
      <w:pPr>
        <w:rPr>
          <w:iCs/>
        </w:rPr>
      </w:pPr>
    </w:p>
    <w:p w14:paraId="6596B81F" w14:textId="77777777" w:rsidR="00864DAF" w:rsidRDefault="00864DAF" w:rsidP="00864DAF">
      <w:pPr>
        <w:rPr>
          <w:iCs/>
        </w:rPr>
      </w:pPr>
    </w:p>
    <w:p w14:paraId="62225E98" w14:textId="77777777" w:rsidR="00864DAF" w:rsidRDefault="00864DAF" w:rsidP="00864DAF">
      <w:pPr>
        <w:rPr>
          <w:iCs/>
        </w:rPr>
      </w:pPr>
    </w:p>
    <w:p w14:paraId="5B93C52F" w14:textId="77777777" w:rsidR="00864DAF" w:rsidRDefault="00864DAF" w:rsidP="00864DAF">
      <w:pPr>
        <w:widowControl w:val="0"/>
        <w:autoSpaceDE w:val="0"/>
        <w:autoSpaceDN w:val="0"/>
        <w:rPr>
          <w:rFonts w:eastAsiaTheme="majorEastAsia"/>
        </w:rPr>
      </w:pPr>
      <w:r>
        <w:rPr>
          <w:b/>
          <w:bCs/>
        </w:rPr>
        <w:t>SC1: Razvoj konkurente i otporne poljoprivrede i prepoznatljivih lokalnih proizvoda i usluga</w:t>
      </w:r>
    </w:p>
    <w:p w14:paraId="4F007F5B" w14:textId="77777777" w:rsidR="00864DAF" w:rsidRDefault="00864DAF" w:rsidP="00864DAF">
      <w:pPr>
        <w:jc w:val="both"/>
        <w:rPr>
          <w:rFonts w:eastAsiaTheme="majorEastAsia"/>
        </w:rPr>
      </w:pPr>
      <w:r>
        <w:rPr>
          <w:rFonts w:eastAsiaTheme="majorEastAsia"/>
        </w:rPr>
        <w:t xml:space="preserve">Duga tradicija poljoprivrede i lokalne gastronomije kao i tradicijskih obrta karakterizira područje LAG-a. Depopulacija područja, posebno opadanje interesa za poduzetništvo kod mladih, žena i drugih stanovnika iz osjetljivih skupina, sve više utječe na stagniranje gospodarskog razvoja. Smanjen je interes za očuvanje tradicijske baštine, znanja i vještina, posebno u daljnjem razvoju poljoprivrede te proizvodnji hrane, ali i drugih proizvoda i usluga po kojima je područje LAG-a bilo poznato. Turizam je u razvoju i može biti akcelerator razvoja velikog raspona proizvoda i usluga, posebno lokalnog tržišta poljoprivrednih i zanatskih proizvoda. </w:t>
      </w:r>
      <w:r>
        <w:t>U poljoprivredi, turizmu, kao i u drugim djelatnostima koje nisu izravno povezane sa poljoprivrednom proizvodnjom i šumarstvom, iako postoje razvojni resursi te potencijal nedostaje potpora razvoju poduzetništva, stoga je ovaj cilj usmjeren njegovu općem razvoju, posebno onih aktivnosti koje će omogućiti očuvanje tradicijske baštine i razvojne osnove, kao i omogućiti diverzifikaciju djelatnosti povećanje dodane vrijednosti, suradnju, umrežavanje i razvoj društvenog poduzetništva a što će omogućiti jačanje prepoznatljivosti područja LAG-a.</w:t>
      </w:r>
    </w:p>
    <w:p w14:paraId="61229362" w14:textId="77777777" w:rsidR="00864DAF" w:rsidRDefault="00864DAF" w:rsidP="00864DAF">
      <w:pPr>
        <w:widowControl w:val="0"/>
        <w:autoSpaceDE w:val="0"/>
        <w:autoSpaceDN w:val="0"/>
        <w:jc w:val="both"/>
        <w:rPr>
          <w:iCs/>
        </w:rPr>
      </w:pPr>
    </w:p>
    <w:p w14:paraId="067D01D4" w14:textId="77777777" w:rsidR="00864DAF" w:rsidRDefault="00864DAF" w:rsidP="00864DAF">
      <w:pPr>
        <w:widowControl w:val="0"/>
        <w:autoSpaceDE w:val="0"/>
        <w:autoSpaceDN w:val="0"/>
        <w:jc w:val="both"/>
        <w:rPr>
          <w:b/>
          <w:bCs/>
        </w:rPr>
      </w:pPr>
      <w:r>
        <w:rPr>
          <w:b/>
          <w:bCs/>
        </w:rPr>
        <w:t>SC2: Povećanje kvalitete života lokalnog stanovništva i doživljaja posjetitelja</w:t>
      </w:r>
    </w:p>
    <w:p w14:paraId="04BBD2B9" w14:textId="77777777" w:rsidR="00864DAF" w:rsidRDefault="00864DAF" w:rsidP="00864DAF">
      <w:pPr>
        <w:jc w:val="both"/>
        <w:rPr>
          <w:iCs/>
        </w:rPr>
      </w:pPr>
      <w:r>
        <w:rPr>
          <w:iCs/>
        </w:rPr>
        <w:t xml:space="preserve">Područje LAG-a i danas je poznato po malim seoskim zajednicama, raznolike i bogate tradicijske baštine, no ne postoji zajednički identitet i kohezija.  Ovim ciljem, stoga, želi se postići jačanje umrežavanja, suradnje, partnerstva, međusektorsko i međugeneracijsko povezivanje, jačanje sadržaja i usluga za sve stanovnike područja kao i za njegove posjetitelje. Ovim ciljem želi se postići integracija lokalne zajednice, inkluzija svih društvenih sastavnica i lokalnih resursa koje će na inovativan i pametan način jačati vidljivosti i prepoznatljivost područja LAG-a „Prigorje“ </w:t>
      </w:r>
    </w:p>
    <w:p w14:paraId="348FB93B" w14:textId="77777777" w:rsidR="00864DAF" w:rsidRDefault="00864DAF" w:rsidP="00864DAF"/>
    <w:p w14:paraId="08C1E4DA" w14:textId="77777777" w:rsidR="00864DAF" w:rsidRDefault="00864DAF" w:rsidP="00864DAF">
      <w:pPr>
        <w:pStyle w:val="Naslov2"/>
        <w:numPr>
          <w:ilvl w:val="1"/>
          <w:numId w:val="1"/>
        </w:numPr>
        <w:spacing w:before="40" w:after="0" w:line="256" w:lineRule="auto"/>
      </w:pPr>
      <w:bookmarkStart w:id="4" w:name="_Toc218304482"/>
      <w:r>
        <w:rPr>
          <w:rStyle w:val="Naslov2Char"/>
        </w:rPr>
        <w:t>Opis intervencija LRS uključujući projekte suradnje</w:t>
      </w:r>
      <w:bookmarkEnd w:id="4"/>
    </w:p>
    <w:p w14:paraId="11753F90" w14:textId="77777777" w:rsidR="00864DAF" w:rsidRDefault="00864DAF" w:rsidP="00864DAF">
      <w:pPr>
        <w:pStyle w:val="Naslov3"/>
      </w:pPr>
      <w:bookmarkStart w:id="5" w:name="_Toc218304483"/>
      <w:bookmarkStart w:id="6" w:name="_Hlk116397064"/>
      <w:r>
        <w:t>Tablica 27: Intervencije u LRS</w:t>
      </w:r>
      <w:bookmarkEnd w:id="5"/>
      <w:r>
        <w:t xml:space="preserve"> </w:t>
      </w:r>
    </w:p>
    <w:tbl>
      <w:tblPr>
        <w:tblStyle w:val="Reetkatablice"/>
        <w:tblW w:w="5000" w:type="pct"/>
        <w:tblInd w:w="0" w:type="dxa"/>
        <w:tblLook w:val="04A0" w:firstRow="1" w:lastRow="0" w:firstColumn="1" w:lastColumn="0" w:noHBand="0" w:noVBand="1"/>
      </w:tblPr>
      <w:tblGrid>
        <w:gridCol w:w="1551"/>
        <w:gridCol w:w="2055"/>
        <w:gridCol w:w="2708"/>
        <w:gridCol w:w="2748"/>
      </w:tblGrid>
      <w:tr w:rsidR="00864DAF" w14:paraId="59AF2225" w14:textId="77777777">
        <w:trPr>
          <w:trHeight w:val="258"/>
        </w:trPr>
        <w:tc>
          <w:tcPr>
            <w:tcW w:w="856"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bookmarkEnd w:id="6"/>
          <w:p w14:paraId="5A142BE9" w14:textId="77777777" w:rsidR="00864DAF" w:rsidRDefault="00864DAF">
            <w:pPr>
              <w:jc w:val="center"/>
              <w:rPr>
                <w:sz w:val="20"/>
                <w:szCs w:val="20"/>
                <w:lang w:eastAsia="en-US"/>
              </w:rPr>
            </w:pPr>
            <w:r>
              <w:rPr>
                <w:sz w:val="20"/>
                <w:szCs w:val="20"/>
                <w:lang w:eastAsia="en-US"/>
              </w:rPr>
              <w:t>Opći cilj LRS</w:t>
            </w:r>
          </w:p>
        </w:tc>
        <w:tc>
          <w:tcPr>
            <w:tcW w:w="1134"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52E5771D" w14:textId="77777777" w:rsidR="00864DAF" w:rsidRDefault="00864DAF">
            <w:pPr>
              <w:jc w:val="center"/>
              <w:rPr>
                <w:sz w:val="20"/>
                <w:szCs w:val="20"/>
                <w:lang w:eastAsia="en-US"/>
              </w:rPr>
            </w:pPr>
            <w:r>
              <w:rPr>
                <w:sz w:val="20"/>
                <w:szCs w:val="20"/>
                <w:lang w:eastAsia="en-US"/>
              </w:rPr>
              <w:t>Specifični  cilj LRS</w:t>
            </w:r>
          </w:p>
        </w:tc>
        <w:tc>
          <w:tcPr>
            <w:tcW w:w="1494"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48177BD6" w14:textId="77777777" w:rsidR="00864DAF" w:rsidRDefault="00864DAF">
            <w:pPr>
              <w:jc w:val="center"/>
              <w:rPr>
                <w:sz w:val="20"/>
                <w:szCs w:val="20"/>
                <w:lang w:eastAsia="en-US"/>
              </w:rPr>
            </w:pPr>
            <w:r>
              <w:rPr>
                <w:sz w:val="20"/>
                <w:szCs w:val="20"/>
                <w:lang w:eastAsia="en-US"/>
              </w:rPr>
              <w:t>Potreba</w:t>
            </w:r>
          </w:p>
        </w:tc>
        <w:tc>
          <w:tcPr>
            <w:tcW w:w="1516"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47F69496" w14:textId="77777777" w:rsidR="00864DAF" w:rsidRDefault="00864DAF">
            <w:pPr>
              <w:jc w:val="center"/>
              <w:rPr>
                <w:sz w:val="20"/>
                <w:szCs w:val="20"/>
                <w:lang w:eastAsia="en-US"/>
              </w:rPr>
            </w:pPr>
            <w:r>
              <w:rPr>
                <w:sz w:val="20"/>
                <w:szCs w:val="20"/>
                <w:lang w:eastAsia="en-US"/>
              </w:rPr>
              <w:t xml:space="preserve"> Intervencija</w:t>
            </w:r>
          </w:p>
        </w:tc>
      </w:tr>
      <w:tr w:rsidR="00864DAF" w14:paraId="00F0509D" w14:textId="77777777">
        <w:trPr>
          <w:trHeight w:val="360"/>
        </w:trPr>
        <w:tc>
          <w:tcPr>
            <w:tcW w:w="856" w:type="pct"/>
            <w:vMerge w:val="restart"/>
            <w:tcBorders>
              <w:top w:val="single" w:sz="4" w:space="0" w:color="auto"/>
              <w:left w:val="single" w:sz="4" w:space="0" w:color="auto"/>
              <w:bottom w:val="single" w:sz="4" w:space="0" w:color="auto"/>
              <w:right w:val="single" w:sz="4" w:space="0" w:color="auto"/>
            </w:tcBorders>
          </w:tcPr>
          <w:p w14:paraId="2EBDD59C" w14:textId="77777777" w:rsidR="00864DAF" w:rsidRDefault="00864DAF">
            <w:pPr>
              <w:widowControl w:val="0"/>
              <w:autoSpaceDE w:val="0"/>
              <w:autoSpaceDN w:val="0"/>
              <w:rPr>
                <w:iCs/>
                <w:lang w:eastAsia="en-US"/>
              </w:rPr>
            </w:pPr>
            <w:r>
              <w:rPr>
                <w:iCs/>
                <w:lang w:eastAsia="en-US"/>
              </w:rPr>
              <w:t xml:space="preserve">OC: </w:t>
            </w:r>
            <w:r>
              <w:rPr>
                <w:lang w:eastAsia="en-US"/>
              </w:rPr>
              <w:t>Razvoj integracije i identiteta lokalne zajednice</w:t>
            </w:r>
          </w:p>
          <w:p w14:paraId="43B8984A" w14:textId="77777777" w:rsidR="00864DAF" w:rsidRDefault="00864DAF">
            <w:pPr>
              <w:widowControl w:val="0"/>
              <w:autoSpaceDE w:val="0"/>
              <w:autoSpaceDN w:val="0"/>
              <w:rPr>
                <w:iCs/>
                <w:lang w:eastAsia="en-US"/>
              </w:rPr>
            </w:pPr>
          </w:p>
          <w:p w14:paraId="1BB727D3" w14:textId="77777777" w:rsidR="00864DAF" w:rsidRDefault="00864DAF">
            <w:pPr>
              <w:widowControl w:val="0"/>
              <w:autoSpaceDE w:val="0"/>
              <w:autoSpaceDN w:val="0"/>
              <w:rPr>
                <w:iCs/>
                <w:lang w:eastAsia="en-US"/>
              </w:rPr>
            </w:pPr>
          </w:p>
          <w:p w14:paraId="5C7F946E" w14:textId="77777777" w:rsidR="00864DAF" w:rsidRDefault="00864DAF">
            <w:pPr>
              <w:widowControl w:val="0"/>
              <w:autoSpaceDE w:val="0"/>
              <w:autoSpaceDN w:val="0"/>
              <w:rPr>
                <w:sz w:val="20"/>
                <w:szCs w:val="20"/>
                <w:lang w:eastAsia="en-US"/>
              </w:rPr>
            </w:pPr>
          </w:p>
        </w:tc>
        <w:tc>
          <w:tcPr>
            <w:tcW w:w="1134" w:type="pct"/>
            <w:tcBorders>
              <w:top w:val="single" w:sz="4" w:space="0" w:color="auto"/>
              <w:left w:val="single" w:sz="4" w:space="0" w:color="auto"/>
              <w:bottom w:val="single" w:sz="4" w:space="0" w:color="auto"/>
              <w:right w:val="single" w:sz="4" w:space="0" w:color="auto"/>
            </w:tcBorders>
          </w:tcPr>
          <w:p w14:paraId="256E2471" w14:textId="77777777" w:rsidR="00864DAF" w:rsidRDefault="00864DAF">
            <w:pPr>
              <w:widowControl w:val="0"/>
              <w:autoSpaceDE w:val="0"/>
              <w:autoSpaceDN w:val="0"/>
              <w:rPr>
                <w:lang w:eastAsia="en-US"/>
              </w:rPr>
            </w:pPr>
            <w:r>
              <w:rPr>
                <w:lang w:eastAsia="en-US"/>
              </w:rPr>
              <w:t>SC1: Razvoj konkurente i otporne poljoprivrede i prepoznatljivih lokalnih proizvoda i usluga</w:t>
            </w:r>
          </w:p>
          <w:p w14:paraId="0D78CCC9" w14:textId="77777777" w:rsidR="00864DAF" w:rsidRDefault="00864DAF">
            <w:pPr>
              <w:rPr>
                <w:sz w:val="20"/>
                <w:szCs w:val="20"/>
                <w:lang w:eastAsia="en-US"/>
              </w:rPr>
            </w:pPr>
          </w:p>
        </w:tc>
        <w:tc>
          <w:tcPr>
            <w:tcW w:w="1494" w:type="pct"/>
            <w:tcBorders>
              <w:top w:val="single" w:sz="4" w:space="0" w:color="auto"/>
              <w:left w:val="single" w:sz="4" w:space="0" w:color="auto"/>
              <w:bottom w:val="single" w:sz="4" w:space="0" w:color="auto"/>
              <w:right w:val="single" w:sz="4" w:space="0" w:color="auto"/>
            </w:tcBorders>
            <w:hideMark/>
          </w:tcPr>
          <w:p w14:paraId="6E54E44D" w14:textId="77777777" w:rsidR="00864DAF" w:rsidRDefault="00864DAF">
            <w:pPr>
              <w:rPr>
                <w:lang w:eastAsia="en-US"/>
              </w:rPr>
            </w:pPr>
            <w:r>
              <w:rPr>
                <w:bCs/>
                <w:lang w:eastAsia="en-US"/>
              </w:rPr>
              <w:t xml:space="preserve">P1: </w:t>
            </w:r>
            <w:r>
              <w:rPr>
                <w:lang w:eastAsia="en-US"/>
              </w:rPr>
              <w:t>Razvoj poduzetništva kroz poticanje razvoja diversificiranih proizvoda i usluga u ruralnoj sredini</w:t>
            </w:r>
          </w:p>
        </w:tc>
        <w:tc>
          <w:tcPr>
            <w:tcW w:w="1516" w:type="pct"/>
            <w:tcBorders>
              <w:top w:val="single" w:sz="4" w:space="0" w:color="auto"/>
              <w:left w:val="single" w:sz="4" w:space="0" w:color="auto"/>
              <w:bottom w:val="single" w:sz="4" w:space="0" w:color="auto"/>
              <w:right w:val="single" w:sz="4" w:space="0" w:color="auto"/>
            </w:tcBorders>
            <w:hideMark/>
          </w:tcPr>
          <w:p w14:paraId="49C76166" w14:textId="77777777" w:rsidR="00864DAF" w:rsidRDefault="00864DAF">
            <w:pPr>
              <w:rPr>
                <w:lang w:eastAsia="en-US"/>
              </w:rPr>
            </w:pPr>
            <w:r>
              <w:rPr>
                <w:lang w:eastAsia="en-US"/>
              </w:rPr>
              <w:t xml:space="preserve">INT 1.1.: </w:t>
            </w:r>
            <w:r>
              <w:rPr>
                <w:rFonts w:eastAsia="Calibri"/>
                <w:lang w:eastAsia="en-US"/>
              </w:rPr>
              <w:t>Razvoj inovativnog i održivog gospodarstva temeljenog na lokalnoj resursnoj osnovi</w:t>
            </w:r>
          </w:p>
        </w:tc>
      </w:tr>
      <w:tr w:rsidR="00864DAF" w14:paraId="1AD641F8" w14:textId="77777777">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514040" w14:textId="77777777" w:rsidR="00864DAF" w:rsidRDefault="00864DAF">
            <w:pPr>
              <w:rPr>
                <w:sz w:val="20"/>
                <w:szCs w:val="20"/>
                <w:lang w:eastAsia="en-US"/>
              </w:rPr>
            </w:pPr>
          </w:p>
        </w:tc>
        <w:tc>
          <w:tcPr>
            <w:tcW w:w="1134" w:type="pct"/>
            <w:vMerge w:val="restart"/>
            <w:tcBorders>
              <w:top w:val="single" w:sz="4" w:space="0" w:color="auto"/>
              <w:left w:val="single" w:sz="4" w:space="0" w:color="auto"/>
              <w:bottom w:val="single" w:sz="4" w:space="0" w:color="auto"/>
              <w:right w:val="single" w:sz="4" w:space="0" w:color="auto"/>
            </w:tcBorders>
          </w:tcPr>
          <w:p w14:paraId="2E1A86FB" w14:textId="77777777" w:rsidR="00864DAF" w:rsidRDefault="00864DAF">
            <w:pPr>
              <w:widowControl w:val="0"/>
              <w:autoSpaceDE w:val="0"/>
              <w:autoSpaceDN w:val="0"/>
              <w:rPr>
                <w:lang w:eastAsia="en-US"/>
              </w:rPr>
            </w:pPr>
            <w:r>
              <w:rPr>
                <w:lang w:eastAsia="en-US"/>
              </w:rPr>
              <w:t>SC2: Povećanje kvalitete života lokalnog stanovništva i doživljaja posjetitelja</w:t>
            </w:r>
          </w:p>
          <w:p w14:paraId="4AB92536" w14:textId="77777777" w:rsidR="00864DAF" w:rsidRDefault="00864DAF">
            <w:pPr>
              <w:rPr>
                <w:sz w:val="20"/>
                <w:szCs w:val="20"/>
                <w:lang w:eastAsia="en-US"/>
              </w:rPr>
            </w:pPr>
          </w:p>
        </w:tc>
        <w:tc>
          <w:tcPr>
            <w:tcW w:w="1494" w:type="pct"/>
            <w:tcBorders>
              <w:top w:val="single" w:sz="4" w:space="0" w:color="auto"/>
              <w:left w:val="single" w:sz="4" w:space="0" w:color="auto"/>
              <w:bottom w:val="single" w:sz="4" w:space="0" w:color="auto"/>
              <w:right w:val="single" w:sz="4" w:space="0" w:color="auto"/>
            </w:tcBorders>
            <w:hideMark/>
          </w:tcPr>
          <w:p w14:paraId="3BD55887" w14:textId="77777777" w:rsidR="00864DAF" w:rsidRDefault="00864DAF">
            <w:pPr>
              <w:rPr>
                <w:sz w:val="20"/>
                <w:szCs w:val="20"/>
                <w:lang w:eastAsia="en-US"/>
              </w:rPr>
            </w:pPr>
            <w:r>
              <w:rPr>
                <w:bCs/>
                <w:lang w:eastAsia="en-US"/>
              </w:rPr>
              <w:t xml:space="preserve">P2: </w:t>
            </w:r>
            <w:r>
              <w:rPr>
                <w:lang w:eastAsia="en-US"/>
              </w:rPr>
              <w:t>Razvoj manje ruralne infrastrukture u svrhu rekreacije i razvoja turizma</w:t>
            </w:r>
          </w:p>
        </w:tc>
        <w:tc>
          <w:tcPr>
            <w:tcW w:w="1516" w:type="pct"/>
            <w:vMerge w:val="restart"/>
            <w:tcBorders>
              <w:top w:val="single" w:sz="4" w:space="0" w:color="auto"/>
              <w:left w:val="single" w:sz="4" w:space="0" w:color="auto"/>
              <w:bottom w:val="single" w:sz="4" w:space="0" w:color="auto"/>
              <w:right w:val="single" w:sz="4" w:space="0" w:color="auto"/>
            </w:tcBorders>
          </w:tcPr>
          <w:p w14:paraId="02B2155A" w14:textId="77777777" w:rsidR="00864DAF" w:rsidRDefault="00864DAF">
            <w:pPr>
              <w:pStyle w:val="Bezproreda"/>
              <w:rPr>
                <w:rFonts w:ascii="Times New Roman" w:hAnsi="Times New Roman" w:cs="Times New Roman"/>
                <w:sz w:val="24"/>
                <w:szCs w:val="24"/>
              </w:rPr>
            </w:pPr>
            <w:r>
              <w:rPr>
                <w:rFonts w:ascii="Times New Roman" w:hAnsi="Times New Roman" w:cs="Times New Roman"/>
                <w:sz w:val="24"/>
                <w:szCs w:val="24"/>
              </w:rPr>
              <w:t xml:space="preserve">INT 2.1. </w:t>
            </w:r>
            <w:r>
              <w:rPr>
                <w:rFonts w:ascii="Times New Roman" w:eastAsia="Calibri" w:hAnsi="Times New Roman" w:cs="Times New Roman"/>
                <w:sz w:val="24"/>
                <w:szCs w:val="24"/>
                <w:lang w:eastAsia="hr-HR"/>
              </w:rPr>
              <w:t>Pametna sela i gradovi – održivi razvoj lokalne zajednice</w:t>
            </w:r>
            <w:r>
              <w:rPr>
                <w:rFonts w:ascii="Times New Roman" w:hAnsi="Times New Roman" w:cs="Times New Roman"/>
                <w:sz w:val="24"/>
                <w:szCs w:val="24"/>
              </w:rPr>
              <w:t xml:space="preserve"> </w:t>
            </w:r>
          </w:p>
          <w:p w14:paraId="04E9DD2A" w14:textId="77777777" w:rsidR="00864DAF" w:rsidRDefault="00864DAF">
            <w:pPr>
              <w:rPr>
                <w:lang w:eastAsia="en-US"/>
              </w:rPr>
            </w:pPr>
          </w:p>
        </w:tc>
      </w:tr>
      <w:tr w:rsidR="00864DAF" w14:paraId="2BE8039B" w14:textId="77777777">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AD89EC" w14:textId="77777777" w:rsidR="00864DAF" w:rsidRDefault="00864DAF">
            <w:pPr>
              <w:rPr>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90EE3A" w14:textId="77777777" w:rsidR="00864DAF" w:rsidRDefault="00864DAF">
            <w:pPr>
              <w:rPr>
                <w:sz w:val="20"/>
                <w:szCs w:val="20"/>
                <w:lang w:eastAsia="en-US"/>
              </w:rPr>
            </w:pPr>
          </w:p>
        </w:tc>
        <w:tc>
          <w:tcPr>
            <w:tcW w:w="1494" w:type="pct"/>
            <w:tcBorders>
              <w:top w:val="single" w:sz="4" w:space="0" w:color="auto"/>
              <w:left w:val="single" w:sz="4" w:space="0" w:color="auto"/>
              <w:bottom w:val="single" w:sz="4" w:space="0" w:color="auto"/>
              <w:right w:val="single" w:sz="4" w:space="0" w:color="auto"/>
            </w:tcBorders>
            <w:hideMark/>
          </w:tcPr>
          <w:p w14:paraId="670FEDD7" w14:textId="77777777" w:rsidR="00864DAF" w:rsidRDefault="00864DAF">
            <w:pPr>
              <w:rPr>
                <w:bCs/>
                <w:lang w:eastAsia="en-US"/>
              </w:rPr>
            </w:pPr>
            <w:r>
              <w:rPr>
                <w:bCs/>
                <w:lang w:eastAsia="en-US"/>
              </w:rPr>
              <w:t>P3:</w:t>
            </w:r>
            <w:r>
              <w:rPr>
                <w:lang w:eastAsia="en-US"/>
              </w:rPr>
              <w:t xml:space="preserve"> Jačanje uloge civilnog društva u lokalnoj zajednici</w:t>
            </w:r>
            <w:r>
              <w:rPr>
                <w:bCs/>
                <w:lang w:eastAsia="en-U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242D3A" w14:textId="77777777" w:rsidR="00864DAF" w:rsidRDefault="00864DAF">
            <w:pPr>
              <w:rPr>
                <w:lang w:eastAsia="en-US"/>
              </w:rPr>
            </w:pPr>
          </w:p>
        </w:tc>
      </w:tr>
    </w:tbl>
    <w:p w14:paraId="7EDF1C9C" w14:textId="77777777" w:rsidR="00864DAF" w:rsidRDefault="00864DAF" w:rsidP="00864DAF">
      <w:pPr>
        <w:rPr>
          <w:b/>
          <w:bCs/>
        </w:rPr>
      </w:pPr>
    </w:p>
    <w:p w14:paraId="50597B91" w14:textId="77777777" w:rsidR="00864DAF" w:rsidRDefault="00864DAF" w:rsidP="00864DAF">
      <w:pPr>
        <w:rPr>
          <w:b/>
          <w:bCs/>
        </w:rPr>
      </w:pPr>
    </w:p>
    <w:p w14:paraId="13E63CED" w14:textId="77777777" w:rsidR="00864DAF" w:rsidRDefault="00864DAF" w:rsidP="00864DAF">
      <w:pPr>
        <w:rPr>
          <w:b/>
          <w:bCs/>
        </w:rPr>
      </w:pPr>
    </w:p>
    <w:p w14:paraId="02BBFC02" w14:textId="77777777" w:rsidR="00864DAF" w:rsidRDefault="00864DAF" w:rsidP="00864DAF">
      <w:pPr>
        <w:rPr>
          <w:b/>
          <w:bCs/>
        </w:rPr>
      </w:pPr>
    </w:p>
    <w:p w14:paraId="00BF9D24" w14:textId="77777777" w:rsidR="00864DAF" w:rsidRDefault="00864DAF" w:rsidP="00864DAF">
      <w:pPr>
        <w:rPr>
          <w:b/>
          <w:bCs/>
        </w:rPr>
      </w:pPr>
    </w:p>
    <w:p w14:paraId="51FC1B56" w14:textId="77777777" w:rsidR="00864DAF" w:rsidRDefault="00864DAF" w:rsidP="00864DAF">
      <w:pPr>
        <w:rPr>
          <w:b/>
          <w:bCs/>
        </w:rPr>
      </w:pPr>
    </w:p>
    <w:p w14:paraId="4FB197FD" w14:textId="77777777" w:rsidR="00864DAF" w:rsidRDefault="00864DAF" w:rsidP="00864DAF">
      <w:pPr>
        <w:rPr>
          <w:b/>
          <w:bCs/>
        </w:rPr>
      </w:pPr>
    </w:p>
    <w:p w14:paraId="6B20A544" w14:textId="77777777" w:rsidR="00864DAF" w:rsidRDefault="00864DAF" w:rsidP="00864DAF">
      <w:pPr>
        <w:rPr>
          <w:b/>
          <w:bCs/>
        </w:rPr>
      </w:pPr>
      <w:r>
        <w:rPr>
          <w:b/>
          <w:bCs/>
        </w:rPr>
        <w:t>Zajedničke značajke za sve intervencije LAG-a u okviru LRS</w:t>
      </w:r>
    </w:p>
    <w:p w14:paraId="5E71122B" w14:textId="77777777" w:rsidR="00864DAF" w:rsidRDefault="00864DAF" w:rsidP="00864DAF">
      <w:pPr>
        <w:jc w:val="both"/>
      </w:pPr>
      <w:r>
        <w:t xml:space="preserve">Najviša ukupna vrijednost projekta (ili operacije) kojem će se pružiti potpora je do 300.000,00 EUR (bez PDV-a) dok je najviši iznos potpore po projektu koju LAG može dodijeliti do 200.000,00 EUR. </w:t>
      </w:r>
    </w:p>
    <w:p w14:paraId="32D2EE30" w14:textId="77777777" w:rsidR="00864DAF" w:rsidRDefault="00864DAF" w:rsidP="00864DAF">
      <w:pPr>
        <w:jc w:val="both"/>
      </w:pPr>
    </w:p>
    <w:p w14:paraId="610876DC" w14:textId="77777777" w:rsidR="00864DAF" w:rsidRDefault="00864DAF" w:rsidP="00864DAF">
      <w:pPr>
        <w:widowControl w:val="0"/>
        <w:autoSpaceDE w:val="0"/>
        <w:autoSpaceDN w:val="0"/>
        <w:jc w:val="both"/>
      </w:pPr>
      <w:r>
        <w:rPr>
          <w:b/>
          <w:bCs/>
        </w:rPr>
        <w:t>Zajednička načela kriterija</w:t>
      </w:r>
      <w:r>
        <w:t xml:space="preserve"> kojima se postiže </w:t>
      </w:r>
      <w:r>
        <w:rPr>
          <w:b/>
          <w:bCs/>
        </w:rPr>
        <w:t>prednost prilikom odabira projekata</w:t>
      </w:r>
      <w:r>
        <w:t xml:space="preserve"> (operacija) u okviru provedbe intervencija LAG-a zasnivaju se prvenstveno na doprinosu projekta (operacije) ključnim elementima </w:t>
      </w:r>
      <w:r>
        <w:rPr>
          <w:b/>
          <w:bCs/>
        </w:rPr>
        <w:t>dodane vrijednosti LEADER-a</w:t>
      </w:r>
      <w:r>
        <w:t xml:space="preserve"> i to: </w:t>
      </w:r>
    </w:p>
    <w:p w14:paraId="1CC4C472" w14:textId="77777777" w:rsidR="00864DAF" w:rsidRDefault="00864DAF" w:rsidP="00864DAF">
      <w:pPr>
        <w:widowControl w:val="0"/>
        <w:numPr>
          <w:ilvl w:val="0"/>
          <w:numId w:val="2"/>
        </w:numPr>
        <w:autoSpaceDE w:val="0"/>
        <w:autoSpaceDN w:val="0"/>
        <w:jc w:val="both"/>
      </w:pPr>
      <w:r>
        <w:t xml:space="preserve">povećanju/jačanju socijalnog (društvenog) kapitala u lokalnim zajednicama, </w:t>
      </w:r>
    </w:p>
    <w:p w14:paraId="43B0F9D1" w14:textId="77777777" w:rsidR="00864DAF" w:rsidRDefault="00864DAF" w:rsidP="00864DAF">
      <w:pPr>
        <w:widowControl w:val="0"/>
        <w:numPr>
          <w:ilvl w:val="0"/>
          <w:numId w:val="2"/>
        </w:numPr>
        <w:autoSpaceDE w:val="0"/>
        <w:autoSpaceDN w:val="0"/>
        <w:jc w:val="both"/>
      </w:pPr>
      <w:r>
        <w:t xml:space="preserve">poboljšanju lokalnog upravljanja te </w:t>
      </w:r>
    </w:p>
    <w:p w14:paraId="776CADCD" w14:textId="77777777" w:rsidR="00864DAF" w:rsidRDefault="00864DAF" w:rsidP="00864DAF">
      <w:pPr>
        <w:widowControl w:val="0"/>
        <w:numPr>
          <w:ilvl w:val="0"/>
          <w:numId w:val="2"/>
        </w:numPr>
        <w:autoSpaceDE w:val="0"/>
        <w:autoSpaceDN w:val="0"/>
        <w:jc w:val="both"/>
      </w:pPr>
      <w:r>
        <w:t xml:space="preserve">poboljšanju rezultata i učinaka politike za područje LAG-a u usporedbi s provedbom bez LEADER pristupa. </w:t>
      </w:r>
    </w:p>
    <w:p w14:paraId="1F547A60" w14:textId="77777777" w:rsidR="00864DAF" w:rsidRDefault="00864DAF" w:rsidP="00864DAF">
      <w:pPr>
        <w:widowControl w:val="0"/>
        <w:autoSpaceDE w:val="0"/>
        <w:autoSpaceDN w:val="0"/>
        <w:jc w:val="both"/>
        <w:rPr>
          <w:rFonts w:eastAsia="Calibri"/>
          <w:bCs/>
        </w:rPr>
      </w:pPr>
      <w:r>
        <w:t>Doprinos dodanoj vrijednosti LEADER-</w:t>
      </w:r>
      <w:r>
        <w:rPr>
          <w:bCs/>
        </w:rPr>
        <w:t>a</w:t>
      </w:r>
      <w:r>
        <w:t xml:space="preserve"> koju LAG planira postići očitovat će se prvenstveno kroz potporu inovacijama (inovativnim pristupima) </w:t>
      </w:r>
      <w:r>
        <w:rPr>
          <w:rFonts w:eastAsia="Calibri"/>
          <w:bCs/>
        </w:rPr>
        <w:t xml:space="preserve">te poticanju sektorske i međusektorske suradnje (partnerski projekti), kao i jačem uključivanju osjetljivih društvenih skupina. </w:t>
      </w:r>
    </w:p>
    <w:p w14:paraId="06E773BE" w14:textId="77777777" w:rsidR="00864DAF" w:rsidRDefault="00864DAF" w:rsidP="00864DAF">
      <w:pPr>
        <w:jc w:val="both"/>
      </w:pPr>
      <w:r>
        <w:t xml:space="preserve">Inovacija je horizontalna tema koja prožima cijeli LRS i provedbu LEADER-a u cjelini. Svrha LRS je stvoriti adekvatno okruženje koje će omogućiti potporu promicanju inovacija i inovativnih aktivnosti/projekata. </w:t>
      </w:r>
    </w:p>
    <w:p w14:paraId="785002B5" w14:textId="77777777" w:rsidR="00864DAF" w:rsidRDefault="00864DAF" w:rsidP="00864DAF">
      <w:pPr>
        <w:jc w:val="both"/>
        <w:rPr>
          <w:rFonts w:eastAsia="Arial"/>
          <w:b/>
          <w:bCs/>
        </w:rPr>
      </w:pPr>
      <w:r>
        <w:t xml:space="preserve">Operacija odnosno projekt ima inovativne značajke na lokalnoj razini ako operacija rezultira uvođenjem nove aktivnosti ili novog proizvoda ili nove/inovativne metode ili usluge na lokalnoj razini (ukupno područje LAG-a). Važno je istaknuti kako je doprinos inovativnim i pametnim rješenjima u selima ujedno i jedan od kriterija doprinosa provedbi koncepta Pametnih sela. </w:t>
      </w:r>
    </w:p>
    <w:p w14:paraId="3084CCEC" w14:textId="77777777" w:rsidR="00864DAF" w:rsidRDefault="00864DAF" w:rsidP="00864DAF">
      <w:pPr>
        <w:jc w:val="both"/>
      </w:pPr>
      <w:r>
        <w:rPr>
          <w:b/>
          <w:bCs/>
        </w:rPr>
        <w:t>Osnovni elementi primjene inovativnosti odnosno inovativnih značajki u lokalnom kontekstu</w:t>
      </w:r>
      <w:r>
        <w:t xml:space="preserve"> sukladno </w:t>
      </w:r>
      <w:r>
        <w:rPr>
          <w:rFonts w:eastAsia="Arial"/>
        </w:rPr>
        <w:t xml:space="preserve">članku 31. stavku 2. (d) Uredbe (EU) br. 2021/1060. </w:t>
      </w:r>
      <w:r>
        <w:t>za potrebe primjene u kriterijima odabira projekata (operacija) temelje se na:</w:t>
      </w:r>
    </w:p>
    <w:p w14:paraId="71B63440" w14:textId="77777777" w:rsidR="00864DAF" w:rsidRDefault="00864DAF" w:rsidP="00864DAF">
      <w:pPr>
        <w:widowControl w:val="0"/>
        <w:numPr>
          <w:ilvl w:val="0"/>
          <w:numId w:val="3"/>
        </w:numPr>
        <w:autoSpaceDE w:val="0"/>
        <w:autoSpaceDN w:val="0"/>
        <w:jc w:val="both"/>
      </w:pPr>
      <w:r>
        <w:t xml:space="preserve">projektnim partnerstvima koja donose međusektorsku ili sektorsku suradnju različitih dionika u iznalaženju rješenja za razvojne potrebe područja LAG-a (partnerski projekti); </w:t>
      </w:r>
    </w:p>
    <w:p w14:paraId="75FF7621" w14:textId="77777777" w:rsidR="00864DAF" w:rsidRDefault="00864DAF" w:rsidP="00864DAF">
      <w:pPr>
        <w:widowControl w:val="0"/>
        <w:numPr>
          <w:ilvl w:val="0"/>
          <w:numId w:val="3"/>
        </w:numPr>
        <w:autoSpaceDE w:val="0"/>
        <w:autoSpaceDN w:val="0"/>
        <w:jc w:val="both"/>
      </w:pPr>
      <w:r>
        <w:t xml:space="preserve">potporom društvenim (socijalnim) inovacijama koje dovode do novih proizvoda i usluga kojima se rješavaju potrebe opće zajednice područja LAG-a, poput: </w:t>
      </w:r>
    </w:p>
    <w:p w14:paraId="6463CBFE" w14:textId="77777777" w:rsidR="00864DAF" w:rsidRDefault="00864DAF" w:rsidP="00864DAF">
      <w:pPr>
        <w:widowControl w:val="0"/>
        <w:numPr>
          <w:ilvl w:val="1"/>
          <w:numId w:val="3"/>
        </w:numPr>
        <w:autoSpaceDE w:val="0"/>
        <w:autoSpaceDN w:val="0"/>
        <w:jc w:val="both"/>
      </w:pPr>
      <w:r>
        <w:t xml:space="preserve">novih metoda i pristupa prijenosu znanja iz područja promicanja poduzetništva i poduzetničke kulture, uključujući nalaženje novih rješenja razvoja društvenog poduzetništva i partnerstva </w:t>
      </w:r>
    </w:p>
    <w:p w14:paraId="6395C0CA" w14:textId="77777777" w:rsidR="00864DAF" w:rsidRDefault="00864DAF" w:rsidP="00864DAF">
      <w:pPr>
        <w:widowControl w:val="0"/>
        <w:numPr>
          <w:ilvl w:val="1"/>
          <w:numId w:val="3"/>
        </w:numPr>
        <w:autoSpaceDE w:val="0"/>
        <w:autoSpaceDN w:val="0"/>
        <w:jc w:val="both"/>
      </w:pPr>
      <w:r>
        <w:t xml:space="preserve">inovativnih pristupa i modernih ekoloških praksi u području zaštite okoliša i prirode kao i implementacije aktivnosti </w:t>
      </w:r>
      <w:proofErr w:type="spellStart"/>
      <w:r>
        <w:t>biogospodarstva</w:t>
      </w:r>
      <w:proofErr w:type="spellEnd"/>
      <w:r>
        <w:t xml:space="preserve"> (</w:t>
      </w:r>
      <w:proofErr w:type="spellStart"/>
      <w:r>
        <w:t>bioekonomije</w:t>
      </w:r>
      <w:proofErr w:type="spellEnd"/>
      <w:r>
        <w:t xml:space="preserve">) </w:t>
      </w:r>
    </w:p>
    <w:p w14:paraId="0311E658" w14:textId="77777777" w:rsidR="00864DAF" w:rsidRDefault="00864DAF" w:rsidP="00864DAF">
      <w:pPr>
        <w:numPr>
          <w:ilvl w:val="1"/>
          <w:numId w:val="3"/>
        </w:numPr>
        <w:jc w:val="both"/>
      </w:pPr>
      <w:r>
        <w:t>novih metoda i pristup prijenosu znanja u području inovativne proizvodnje lokalne hrane i drugih lokalnih proizvoda, informatičkih tehnologija, drugih aktivnosti područja, te u razvoju turizma (selektivni oblici, interpretacija baštine i sl.)</w:t>
      </w:r>
    </w:p>
    <w:p w14:paraId="60BE7317" w14:textId="77777777" w:rsidR="00864DAF" w:rsidRDefault="00864DAF" w:rsidP="00864DAF">
      <w:pPr>
        <w:widowControl w:val="0"/>
        <w:numPr>
          <w:ilvl w:val="1"/>
          <w:numId w:val="3"/>
        </w:numPr>
        <w:autoSpaceDE w:val="0"/>
        <w:autoSpaceDN w:val="0"/>
        <w:jc w:val="both"/>
      </w:pPr>
      <w:r>
        <w:t xml:space="preserve">društvenih inovacija koje razvijaju nove oblike i načine uključivanja osjetljivih skupina društva </w:t>
      </w:r>
    </w:p>
    <w:p w14:paraId="0552313F" w14:textId="77777777" w:rsidR="00864DAF" w:rsidRDefault="00864DAF" w:rsidP="00864DAF">
      <w:pPr>
        <w:widowControl w:val="0"/>
        <w:numPr>
          <w:ilvl w:val="1"/>
          <w:numId w:val="3"/>
        </w:numPr>
        <w:autoSpaceDE w:val="0"/>
        <w:autoSpaceDN w:val="0"/>
        <w:jc w:val="both"/>
      </w:pPr>
      <w:r>
        <w:t xml:space="preserve">tehnoloških i </w:t>
      </w:r>
      <w:proofErr w:type="spellStart"/>
      <w:r>
        <w:t>netehnoloških</w:t>
      </w:r>
      <w:proofErr w:type="spellEnd"/>
      <w:r>
        <w:t xml:space="preserve"> inovacija usmjerenih na nove tehnologije i metode koje omogućuju povećanje otpornosti na klimatske promjene, digitalizaciju i zelenu tranziciju.</w:t>
      </w:r>
    </w:p>
    <w:p w14:paraId="3D37F9FB" w14:textId="77777777" w:rsidR="00864DAF" w:rsidRDefault="00864DAF" w:rsidP="00864DAF">
      <w:pPr>
        <w:jc w:val="both"/>
        <w:rPr>
          <w:rFonts w:eastAsia="Arial"/>
        </w:rPr>
      </w:pPr>
      <w:r>
        <w:lastRenderedPageBreak/>
        <w:t xml:space="preserve">U svrhu jačanja doprinosa dodanoj vrijednosti LEADER-a u elementu </w:t>
      </w:r>
      <w:r>
        <w:rPr>
          <w:b/>
          <w:bCs/>
        </w:rPr>
        <w:t xml:space="preserve">poboljšanja rezultata i učinaka politike putem načela kriterija odabira </w:t>
      </w:r>
      <w:r>
        <w:t xml:space="preserve">prednost će imati projekti (operacije) „zajedničkog korisnika“ te oni kojima se ostvaruje „zajednički interes“. </w:t>
      </w:r>
      <w:r>
        <w:rPr>
          <w:rFonts w:eastAsia="Arial"/>
          <w:b/>
          <w:bCs/>
        </w:rPr>
        <w:t>Zajedničkim korisnikom</w:t>
      </w:r>
      <w:r>
        <w:rPr>
          <w:rFonts w:eastAsia="Arial"/>
        </w:rPr>
        <w:t xml:space="preserve"> u smislu provedbe intervencija LRS i LAG-a smatraju se gospodarska udruženja (zadruge, klasteri i dr.), organizacije civilnog društva ili javno-pravna tijela te pravne osobe (ustanove i/ili poduzeća u većinskom javnom vlasništvu). Zajedničkim korisnikom smatra se i provedba zajedničkih projekata, odnosno, ako se projekti (operacije) provode u sektorskom ili međusektorskom partnerstvu. </w:t>
      </w:r>
      <w:r>
        <w:t xml:space="preserve">Projekt odnosno operacija ima </w:t>
      </w:r>
      <w:r>
        <w:rPr>
          <w:b/>
          <w:bCs/>
        </w:rPr>
        <w:t>Zajednički interes,</w:t>
      </w:r>
      <w:r>
        <w:t xml:space="preserve"> provodi li ga Zajednički korisnik i/ili ako je u kolektivnom interesu članova Zajedničkog korisnika i opće javnosti odnosno od dobrobiti za opću zajednicu. Takav projekt (operacija) treba biti više od zbroja pojedinačnih interesa članova Zajedničkog korisnika. Zajednički interes koji podrazumijeva doprinos interesu opće javnosti ujedno se dokazuje i ostvarivanjem doprinosa razvojnim potrebama područja LAG-a definiranim ovim LRS-om. </w:t>
      </w:r>
    </w:p>
    <w:p w14:paraId="59EBDC4F" w14:textId="77777777" w:rsidR="006B1EA9" w:rsidRDefault="006B1EA9"/>
    <w:sectPr w:rsidR="006B1EA9">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60B1F" w14:textId="77777777" w:rsidR="00385083" w:rsidRDefault="00385083" w:rsidP="00B23458">
      <w:r>
        <w:separator/>
      </w:r>
    </w:p>
  </w:endnote>
  <w:endnote w:type="continuationSeparator" w:id="0">
    <w:p w14:paraId="6047E2AD" w14:textId="77777777" w:rsidR="00385083" w:rsidRDefault="00385083" w:rsidP="00B23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B4652" w14:textId="77777777" w:rsidR="00385083" w:rsidRDefault="00385083" w:rsidP="00B23458">
      <w:r>
        <w:separator/>
      </w:r>
    </w:p>
  </w:footnote>
  <w:footnote w:type="continuationSeparator" w:id="0">
    <w:p w14:paraId="3E5AA381" w14:textId="77777777" w:rsidR="00385083" w:rsidRDefault="00385083" w:rsidP="00B234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B4F67" w14:textId="59958952" w:rsidR="00B23458" w:rsidRDefault="00B23458">
    <w:pPr>
      <w:pStyle w:val="Zaglavlje"/>
    </w:pPr>
    <w:r>
      <w:rPr>
        <w:noProof/>
        <w14:ligatures w14:val="standardContextual"/>
      </w:rPr>
      <w:drawing>
        <wp:inline distT="0" distB="0" distL="0" distR="0" wp14:anchorId="58C1EC4C" wp14:editId="625B134D">
          <wp:extent cx="5760720" cy="836930"/>
          <wp:effectExtent l="0" t="0" r="0" b="1270"/>
          <wp:docPr id="1" name="Slika 1" descr="Slika na kojoj se prikazuje tekst, Font, logotip, Robna marka&#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na kojoj se prikazuje tekst, Font, logotip, Robna marka&#10;&#10;Sadržaj generiran umjetnom inteligencijom može biti netočan."/>
                  <pic:cNvPicPr/>
                </pic:nvPicPr>
                <pic:blipFill>
                  <a:blip r:embed="rId1">
                    <a:extLst>
                      <a:ext uri="{28A0092B-C50C-407E-A947-70E740481C1C}">
                        <a14:useLocalDpi xmlns:a14="http://schemas.microsoft.com/office/drawing/2010/main" val="0"/>
                      </a:ext>
                    </a:extLst>
                  </a:blip>
                  <a:stretch>
                    <a:fillRect/>
                  </a:stretch>
                </pic:blipFill>
                <pic:spPr>
                  <a:xfrm>
                    <a:off x="0" y="0"/>
                    <a:ext cx="5760720" cy="8369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AA0656"/>
    <w:multiLevelType w:val="hybridMultilevel"/>
    <w:tmpl w:val="9B3E430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49DF367B"/>
    <w:multiLevelType w:val="multilevel"/>
    <w:tmpl w:val="0B728A38"/>
    <w:lvl w:ilvl="0">
      <w:start w:val="4"/>
      <w:numFmt w:val="decimal"/>
      <w:lvlText w:val="%1."/>
      <w:lvlJc w:val="left"/>
      <w:pPr>
        <w:ind w:left="1080" w:hanging="360"/>
      </w:pPr>
    </w:lvl>
    <w:lvl w:ilvl="1">
      <w:start w:val="1"/>
      <w:numFmt w:val="decimal"/>
      <w:isLgl/>
      <w:lvlText w:val="%1.%2."/>
      <w:lvlJc w:val="left"/>
      <w:pPr>
        <w:ind w:left="1128" w:hanging="42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 w15:restartNumberingAfterBreak="0">
    <w:nsid w:val="7E431FBD"/>
    <w:multiLevelType w:val="hybridMultilevel"/>
    <w:tmpl w:val="B0F2A464"/>
    <w:lvl w:ilvl="0" w:tplc="C6A43A5E">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16cid:durableId="1325166894">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81685177">
    <w:abstractNumId w:val="0"/>
  </w:num>
  <w:num w:numId="3" w16cid:durableId="21134361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DAF"/>
    <w:rsid w:val="00385083"/>
    <w:rsid w:val="00595684"/>
    <w:rsid w:val="00650065"/>
    <w:rsid w:val="006B1EA9"/>
    <w:rsid w:val="00781011"/>
    <w:rsid w:val="00864DAF"/>
    <w:rsid w:val="00A012F8"/>
    <w:rsid w:val="00B23458"/>
    <w:rsid w:val="00D71A1A"/>
    <w:rsid w:val="00FE7AF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03E91"/>
  <w15:chartTrackingRefBased/>
  <w15:docId w15:val="{3FCB14D2-FE0A-418D-B950-2139129EE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DAF"/>
    <w:pPr>
      <w:spacing w:after="0" w:line="240" w:lineRule="auto"/>
    </w:pPr>
    <w:rPr>
      <w:rFonts w:ascii="Times New Roman" w:eastAsia="Times New Roman" w:hAnsi="Times New Roman" w:cs="Times New Roman"/>
      <w:kern w:val="0"/>
      <w:sz w:val="24"/>
      <w:szCs w:val="24"/>
      <w:lang w:eastAsia="hr-HR"/>
      <w14:ligatures w14:val="none"/>
    </w:rPr>
  </w:style>
  <w:style w:type="paragraph" w:styleId="Naslov1">
    <w:name w:val="heading 1"/>
    <w:basedOn w:val="Normal"/>
    <w:next w:val="Normal"/>
    <w:link w:val="Naslov1Char"/>
    <w:uiPriority w:val="9"/>
    <w:qFormat/>
    <w:rsid w:val="00864D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864D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864DAF"/>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864DAF"/>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864DAF"/>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864DAF"/>
    <w:pPr>
      <w:keepNext/>
      <w:keepLines/>
      <w:spacing w:before="4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864DAF"/>
    <w:pPr>
      <w:keepNext/>
      <w:keepLines/>
      <w:spacing w:before="4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864DAF"/>
    <w:pPr>
      <w:keepNext/>
      <w:keepLines/>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864DAF"/>
    <w:pPr>
      <w:keepNext/>
      <w:keepLines/>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864DAF"/>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864DAF"/>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864DAF"/>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864DAF"/>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864DAF"/>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864DAF"/>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864DAF"/>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864DAF"/>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864DAF"/>
    <w:rPr>
      <w:rFonts w:eastAsiaTheme="majorEastAsia" w:cstheme="majorBidi"/>
      <w:color w:val="272727" w:themeColor="text1" w:themeTint="D8"/>
    </w:rPr>
  </w:style>
  <w:style w:type="paragraph" w:styleId="Naslov">
    <w:name w:val="Title"/>
    <w:basedOn w:val="Normal"/>
    <w:next w:val="Normal"/>
    <w:link w:val="NaslovChar"/>
    <w:uiPriority w:val="10"/>
    <w:qFormat/>
    <w:rsid w:val="00864DAF"/>
    <w:pPr>
      <w:spacing w:after="80"/>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864DAF"/>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864DAF"/>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864DAF"/>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864DAF"/>
    <w:pPr>
      <w:spacing w:before="160"/>
      <w:jc w:val="center"/>
    </w:pPr>
    <w:rPr>
      <w:i/>
      <w:iCs/>
      <w:color w:val="404040" w:themeColor="text1" w:themeTint="BF"/>
    </w:rPr>
  </w:style>
  <w:style w:type="character" w:customStyle="1" w:styleId="CitatChar">
    <w:name w:val="Citat Char"/>
    <w:basedOn w:val="Zadanifontodlomka"/>
    <w:link w:val="Citat"/>
    <w:uiPriority w:val="29"/>
    <w:rsid w:val="00864DAF"/>
    <w:rPr>
      <w:i/>
      <w:iCs/>
      <w:color w:val="404040" w:themeColor="text1" w:themeTint="BF"/>
    </w:rPr>
  </w:style>
  <w:style w:type="paragraph" w:styleId="Odlomakpopisa">
    <w:name w:val="List Paragraph"/>
    <w:basedOn w:val="Normal"/>
    <w:link w:val="OdlomakpopisaChar"/>
    <w:uiPriority w:val="34"/>
    <w:qFormat/>
    <w:rsid w:val="00864DAF"/>
    <w:pPr>
      <w:ind w:left="720"/>
      <w:contextualSpacing/>
    </w:pPr>
  </w:style>
  <w:style w:type="character" w:styleId="Jakoisticanje">
    <w:name w:val="Intense Emphasis"/>
    <w:basedOn w:val="Zadanifontodlomka"/>
    <w:uiPriority w:val="21"/>
    <w:qFormat/>
    <w:rsid w:val="00864DAF"/>
    <w:rPr>
      <w:i/>
      <w:iCs/>
      <w:color w:val="2F5496" w:themeColor="accent1" w:themeShade="BF"/>
    </w:rPr>
  </w:style>
  <w:style w:type="paragraph" w:styleId="Naglaencitat">
    <w:name w:val="Intense Quote"/>
    <w:basedOn w:val="Normal"/>
    <w:next w:val="Normal"/>
    <w:link w:val="NaglaencitatChar"/>
    <w:uiPriority w:val="30"/>
    <w:qFormat/>
    <w:rsid w:val="00864D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864DAF"/>
    <w:rPr>
      <w:i/>
      <w:iCs/>
      <w:color w:val="2F5496" w:themeColor="accent1" w:themeShade="BF"/>
    </w:rPr>
  </w:style>
  <w:style w:type="character" w:styleId="Istaknutareferenca">
    <w:name w:val="Intense Reference"/>
    <w:basedOn w:val="Zadanifontodlomka"/>
    <w:uiPriority w:val="32"/>
    <w:qFormat/>
    <w:rsid w:val="00864DAF"/>
    <w:rPr>
      <w:b/>
      <w:bCs/>
      <w:smallCaps/>
      <w:color w:val="2F5496" w:themeColor="accent1" w:themeShade="BF"/>
      <w:spacing w:val="5"/>
    </w:rPr>
  </w:style>
  <w:style w:type="character" w:customStyle="1" w:styleId="BezproredaChar">
    <w:name w:val="Bez proreda Char"/>
    <w:link w:val="Bezproreda"/>
    <w:qFormat/>
    <w:locked/>
    <w:rsid w:val="00864DAF"/>
  </w:style>
  <w:style w:type="paragraph" w:styleId="Bezproreda">
    <w:name w:val="No Spacing"/>
    <w:link w:val="BezproredaChar"/>
    <w:qFormat/>
    <w:rsid w:val="00864DAF"/>
    <w:pPr>
      <w:spacing w:after="0" w:line="240" w:lineRule="auto"/>
    </w:pPr>
  </w:style>
  <w:style w:type="character" w:customStyle="1" w:styleId="OdlomakpopisaChar">
    <w:name w:val="Odlomak popisa Char"/>
    <w:link w:val="Odlomakpopisa"/>
    <w:uiPriority w:val="34"/>
    <w:locked/>
    <w:rsid w:val="00864DAF"/>
  </w:style>
  <w:style w:type="table" w:styleId="Reetkatablice">
    <w:name w:val="Table Grid"/>
    <w:basedOn w:val="Obinatablica"/>
    <w:uiPriority w:val="39"/>
    <w:rsid w:val="00864DAF"/>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B23458"/>
    <w:pPr>
      <w:tabs>
        <w:tab w:val="center" w:pos="4536"/>
        <w:tab w:val="right" w:pos="9072"/>
      </w:tabs>
    </w:pPr>
  </w:style>
  <w:style w:type="character" w:customStyle="1" w:styleId="ZaglavljeChar">
    <w:name w:val="Zaglavlje Char"/>
    <w:basedOn w:val="Zadanifontodlomka"/>
    <w:link w:val="Zaglavlje"/>
    <w:uiPriority w:val="99"/>
    <w:rsid w:val="00B23458"/>
    <w:rPr>
      <w:rFonts w:ascii="Times New Roman" w:eastAsia="Times New Roman" w:hAnsi="Times New Roman" w:cs="Times New Roman"/>
      <w:kern w:val="0"/>
      <w:sz w:val="24"/>
      <w:szCs w:val="24"/>
      <w:lang w:eastAsia="hr-HR"/>
      <w14:ligatures w14:val="none"/>
    </w:rPr>
  </w:style>
  <w:style w:type="paragraph" w:styleId="Podnoje">
    <w:name w:val="footer"/>
    <w:basedOn w:val="Normal"/>
    <w:link w:val="PodnojeChar"/>
    <w:uiPriority w:val="99"/>
    <w:unhideWhenUsed/>
    <w:rsid w:val="00B23458"/>
    <w:pPr>
      <w:tabs>
        <w:tab w:val="center" w:pos="4536"/>
        <w:tab w:val="right" w:pos="9072"/>
      </w:tabs>
    </w:pPr>
  </w:style>
  <w:style w:type="character" w:customStyle="1" w:styleId="PodnojeChar">
    <w:name w:val="Podnožje Char"/>
    <w:basedOn w:val="Zadanifontodlomka"/>
    <w:link w:val="Podnoje"/>
    <w:uiPriority w:val="99"/>
    <w:rsid w:val="00B23458"/>
    <w:rPr>
      <w:rFonts w:ascii="Times New Roman" w:eastAsia="Times New Roman" w:hAnsi="Times New Roman" w:cs="Times New Roman"/>
      <w:kern w:val="0"/>
      <w:sz w:val="24"/>
      <w:szCs w:val="24"/>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1315</Words>
  <Characters>7497</Characters>
  <Application>Microsoft Office Word</Application>
  <DocSecurity>0</DocSecurity>
  <Lines>62</Lines>
  <Paragraphs>17</Paragraphs>
  <ScaleCrop>false</ScaleCrop>
  <Company/>
  <LinksUpToDate>false</LinksUpToDate>
  <CharactersWithSpaces>8795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dc:creator>
  <cp:keywords/>
  <dc:description/>
  <cp:lastModifiedBy>LAG PC-1</cp:lastModifiedBy>
  <cp:revision>3</cp:revision>
  <dcterms:created xsi:type="dcterms:W3CDTF">2026-03-19T18:47:00Z</dcterms:created>
  <dcterms:modified xsi:type="dcterms:W3CDTF">2026-03-30T11:22:00Z</dcterms:modified>
</cp:coreProperties>
</file>